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before="0" w:line="264"/>
      </w:pPr>
      <w:r>
        <w:rPr>
          <w:rFonts w:ascii="Calibri" w:cs="Calibri" w:eastAsia="Calibri" w:hAnsi="Calibri"/>
          <w:b w:val="false"/>
          <w:bCs w:val="false"/>
          <w:i/>
          <w:iCs/>
          <w:color w:val="6B6B6B"/>
          <w:sz w:val="19"/>
          <w:szCs w:val="19"/>
        </w:rPr>
        <w:t xml:space="preserve">Someone has just trusted you with something she has likely told almost no one. In the first twenty minutes, she needs less theology and more steadiness. This guide is built for that moment — and the days right after.</w:t>
      </w:r>
    </w:p>
    <w:p>
      <w:pPr>
        <w:pBdr>
          <w:bottom w:val="single" w:color="A6592C" w:sz="8" w:space="4"/>
        </w:pBdr>
        <w:spacing w:after="100" w:before="260"/>
      </w:pPr>
      <w:r>
        <w:rPr>
          <w:rFonts w:ascii="Calibri" w:cs="Calibri" w:eastAsia="Calibri" w:hAnsi="Calibri"/>
          <w:b/>
          <w:bCs/>
          <w:color w:val="223047"/>
          <w:sz w:val="24"/>
          <w:szCs w:val="24"/>
        </w:rPr>
        <w:t xml:space="preserve">YOUR FIRST WORDS MATTER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rPr>
          <w:cantSplit/>
          <w:tblHeader/>
        </w:trPr>
        <w:tc>
          <w:tcPr>
            <w:tcW w:type="dxa" w:w="4675"/>
            <w:shd w:fill="8C3B2E"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FFFFFF"/>
                <w:sz w:val="20"/>
                <w:szCs w:val="20"/>
              </w:rPr>
              <w:t xml:space="preserve">DON'T START WITH:</w:t>
            </w:r>
          </w:p>
        </w:tc>
        <w:tc>
          <w:tcPr>
            <w:tcW w:type="dxa" w:w="4675"/>
            <w:shd w:fill="3E5C3E"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FFFFFF"/>
                <w:sz w:val="20"/>
                <w:szCs w:val="20"/>
              </w:rPr>
              <w:t xml:space="preserve">START WITH:</w:t>
            </w:r>
          </w:p>
        </w:tc>
      </w:tr>
      <w:tr>
        <w:trPr>
          <w:cantSplit/>
        </w:trPr>
        <w:tc>
          <w:tcPr>
            <w:tcW w:type="dxa" w:w="4675"/>
            <w:shd w:fill="F5E7DA"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“Have you forgiven him?”</w:t>
            </w:r>
          </w:p>
        </w:tc>
        <w:tc>
          <w:tcPr>
            <w:tcW w:type="dxa" w:w="4675"/>
            <w:shd w:fill="E9EFE4"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“Thank you for trusting me with this.”</w:t>
            </w:r>
          </w:p>
        </w:tc>
      </w:tr>
      <w:tr>
        <w:trPr>
          <w:cantSplit/>
        </w:trPr>
        <w:tc>
          <w:tcPr>
            <w:tcW w:type="dxa" w:w="4675"/>
            <w:shd w:fill="FFF9F4"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“What did you do to contribute to this?”</w:t>
            </w:r>
          </w:p>
        </w:tc>
        <w:tc>
          <w:tcPr>
            <w:tcW w:type="dxa" w:w="4675"/>
            <w:shd w:fill="F5F9F2"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“Are you safe right now?”</w:t>
            </w:r>
          </w:p>
        </w:tc>
      </w:tr>
      <w:tr>
        <w:trPr>
          <w:cantSplit/>
        </w:trPr>
        <w:tc>
          <w:tcPr>
            <w:tcW w:type="dxa" w:w="4675"/>
            <w:shd w:fill="F5E7DA"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“Are you sure it was abuse?”</w:t>
            </w:r>
          </w:p>
        </w:tc>
        <w:tc>
          <w:tcPr>
            <w:tcW w:type="dxa" w:w="4675"/>
            <w:shd w:fill="E9EFE4"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“What do you need most today?”</w:t>
            </w:r>
          </w:p>
        </w:tc>
      </w:tr>
      <w:tr>
        <w:trPr>
          <w:cantSplit/>
        </w:trPr>
        <w:tc>
          <w:tcPr>
            <w:tcW w:type="dxa" w:w="4675"/>
            <w:shd w:fill="FFF9F4"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“Let's get both of you in here together.”</w:t>
            </w:r>
          </w:p>
        </w:tc>
        <w:tc>
          <w:tcPr>
            <w:tcW w:type="dxa" w:w="4675"/>
            <w:shd w:fill="F5F9F2"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“You don't have to make major decisions today.”</w:t>
            </w:r>
          </w:p>
        </w:tc>
      </w:tr>
      <w:tr>
        <w:trPr>
          <w:cantSplit/>
        </w:trPr>
        <w:tc>
          <w:tcPr>
            <w:tcW w:type="dxa" w:w="4675"/>
            <w:shd w:fill="F5E7DA"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“It's time to move past this.”</w:t>
            </w:r>
          </w:p>
        </w:tc>
        <w:tc>
          <w:tcPr>
            <w:tcW w:type="dxa" w:w="4675"/>
            <w:shd w:fill="E9EFE4" w:color="auto" w:val="clear"/>
            <w:tcMar>
              <w:top w:type="dxa" w:w="160"/>
              <w:left w:type="dxa" w:w="180"/>
              <w:bottom w:type="dxa" w:w="160"/>
              <w:right w:type="dxa" w:w="180"/>
            </w:tcMar>
            <w:vAlign w:val="top"/>
          </w:tcPr>
          <w:p>
            <w:pPr>
              <w:spacing w:after="80" w:before="0" w:line="264"/>
            </w:pPr>
            <w:r>
              <w:rPr>
                <w:rFonts w:ascii="Calibri" w:cs="Calibri" w:eastAsia="Calibri" w:hAnsi="Calibri"/>
                <w:b w:val="false"/>
                <w:bCs w:val="false"/>
                <w:i/>
                <w:iCs/>
                <w:color w:val="2B2B2B"/>
                <w:sz w:val="19"/>
                <w:szCs w:val="19"/>
              </w:rPr>
              <w:t xml:space="preserve">“Let's think together about the support you need.”</w:t>
            </w:r>
          </w:p>
        </w:tc>
      </w:tr>
    </w:tbl>
    <w:p>
      <w:pPr>
        <w:pBdr>
          <w:bottom w:val="single" w:color="A6592C" w:sz="8" w:space="4"/>
        </w:pBdr>
        <w:spacing w:after="100" w:before="260"/>
      </w:pPr>
      <w:r>
        <w:rPr>
          <w:rFonts w:ascii="Calibri" w:cs="Calibri" w:eastAsia="Calibri" w:hAnsi="Calibri"/>
          <w:b/>
          <w:bCs/>
          <w:color w:val="223047"/>
          <w:sz w:val="24"/>
          <w:szCs w:val="24"/>
        </w:rPr>
        <w:t xml:space="preserve">QUESTIONS: WHAT TO ASK, WHAT TO AVOID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rPr>
          <w:cantSplit/>
        </w:trPr>
        <w:tc>
          <w:tcPr>
            <w:tcW w:type="dxa" w:w="4675"/>
            <w:shd w:fill="3E5C3E"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FFFFFF"/>
                <w:sz w:val="20"/>
                <w:szCs w:val="20"/>
              </w:rPr>
              <w:t xml:space="preserve">ASK (open, low-pressure)</w:t>
            </w:r>
          </w:p>
          <w:p>
            <w:pPr>
              <w:pStyle w:val="ListParagraph"/>
              <w:numPr>
                <w:ilvl w:val="0"/>
                <w:numId w:val="2"/>
              </w:numPr>
              <w:spacing w:after="60" w:line="248"/>
            </w:pPr>
            <w:r>
              <w:rPr>
                <w:rFonts w:ascii="Calibri" w:cs="Calibri" w:eastAsia="Calibri" w:hAnsi="Calibri"/>
                <w:color w:val="FFFFFF"/>
                <w:sz w:val="18"/>
                <w:szCs w:val="18"/>
              </w:rPr>
              <w:t xml:space="preserve">“Are you safe right now — tonight, this week?”</w:t>
            </w:r>
          </w:p>
          <w:p>
            <w:pPr>
              <w:pStyle w:val="ListParagraph"/>
              <w:numPr>
                <w:ilvl w:val="0"/>
                <w:numId w:val="2"/>
              </w:numPr>
              <w:spacing w:after="60" w:line="248"/>
            </w:pPr>
            <w:r>
              <w:rPr>
                <w:rFonts w:ascii="Calibri" w:cs="Calibri" w:eastAsia="Calibri" w:hAnsi="Calibri"/>
                <w:color w:val="FFFFFF"/>
                <w:sz w:val="18"/>
                <w:szCs w:val="18"/>
              </w:rPr>
              <w:t xml:space="preserve">“Who else knows about this?”</w:t>
            </w:r>
          </w:p>
          <w:p>
            <w:pPr>
              <w:pStyle w:val="ListParagraph"/>
              <w:numPr>
                <w:ilvl w:val="0"/>
                <w:numId w:val="2"/>
              </w:numPr>
              <w:spacing w:after="60" w:line="248"/>
            </w:pPr>
            <w:r>
              <w:rPr>
                <w:rFonts w:ascii="Calibri" w:cs="Calibri" w:eastAsia="Calibri" w:hAnsi="Calibri"/>
                <w:color w:val="FFFFFF"/>
                <w:sz w:val="18"/>
                <w:szCs w:val="18"/>
              </w:rPr>
              <w:t xml:space="preserve">“What has already happened since you found out / since it happened?”</w:t>
            </w:r>
          </w:p>
          <w:p>
            <w:pPr>
              <w:pStyle w:val="ListParagraph"/>
              <w:numPr>
                <w:ilvl w:val="0"/>
                <w:numId w:val="2"/>
              </w:numPr>
              <w:spacing w:after="60" w:line="248"/>
            </w:pPr>
            <w:r>
              <w:rPr>
                <w:rFonts w:ascii="Calibri" w:cs="Calibri" w:eastAsia="Calibri" w:hAnsi="Calibri"/>
                <w:color w:val="FFFFFF"/>
                <w:sz w:val="18"/>
                <w:szCs w:val="18"/>
              </w:rPr>
              <w:t xml:space="preserve">“What kind of support would help most right now?”</w:t>
            </w:r>
          </w:p>
          <w:p>
            <w:pPr>
              <w:pStyle w:val="ListParagraph"/>
              <w:numPr>
                <w:ilvl w:val="0"/>
                <w:numId w:val="2"/>
              </w:numPr>
              <w:spacing w:after="60" w:line="248"/>
            </w:pPr>
            <w:r>
              <w:rPr>
                <w:rFonts w:ascii="Calibri" w:cs="Calibri" w:eastAsia="Calibri" w:hAnsi="Calibri"/>
                <w:color w:val="FFFFFF"/>
                <w:sz w:val="18"/>
                <w:szCs w:val="18"/>
              </w:rPr>
              <w:t xml:space="preserve">“Is it all right if I check in with you in a few days?”</w:t>
            </w:r>
          </w:p>
        </w:tc>
        <w:tc>
          <w:tcPr>
            <w:tcW w:type="dxa" w:w="4675"/>
            <w:shd w:fill="8C3B2E"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FFFFFF"/>
                <w:sz w:val="20"/>
                <w:szCs w:val="20"/>
              </w:rPr>
              <w:t xml:space="preserve">AVOID (for now)</w:t>
            </w:r>
          </w:p>
          <w:p>
            <w:pPr>
              <w:pStyle w:val="ListParagraph"/>
              <w:numPr>
                <w:ilvl w:val="0"/>
                <w:numId w:val="2"/>
              </w:numPr>
              <w:spacing w:after="60" w:line="248"/>
            </w:pPr>
            <w:r>
              <w:rPr>
                <w:rFonts w:ascii="Calibri" w:cs="Calibri" w:eastAsia="Calibri" w:hAnsi="Calibri"/>
                <w:color w:val="FFFFFF"/>
                <w:sz w:val="18"/>
                <w:szCs w:val="18"/>
              </w:rPr>
              <w:t xml:space="preserve">Any question that asks her to justify, defend, or relive graphic detail</w:t>
            </w:r>
          </w:p>
          <w:p>
            <w:pPr>
              <w:pStyle w:val="ListParagraph"/>
              <w:numPr>
                <w:ilvl w:val="0"/>
                <w:numId w:val="2"/>
              </w:numPr>
              <w:spacing w:after="60" w:line="248"/>
            </w:pPr>
            <w:r>
              <w:rPr>
                <w:rFonts w:ascii="Calibri" w:cs="Calibri" w:eastAsia="Calibri" w:hAnsi="Calibri"/>
                <w:color w:val="FFFFFF"/>
                <w:sz w:val="18"/>
                <w:szCs w:val="18"/>
              </w:rPr>
              <w:t xml:space="preserve">“Why didn't you tell me sooner?”</w:t>
            </w:r>
          </w:p>
          <w:p>
            <w:pPr>
              <w:pStyle w:val="ListParagraph"/>
              <w:numPr>
                <w:ilvl w:val="0"/>
                <w:numId w:val="2"/>
              </w:numPr>
              <w:spacing w:after="60" w:line="248"/>
            </w:pPr>
            <w:r>
              <w:rPr>
                <w:rFonts w:ascii="Calibri" w:cs="Calibri" w:eastAsia="Calibri" w:hAnsi="Calibri"/>
                <w:color w:val="FFFFFF"/>
                <w:sz w:val="18"/>
                <w:szCs w:val="18"/>
              </w:rPr>
              <w:t xml:space="preserve">“What do you think he needs from you right now?”</w:t>
            </w:r>
          </w:p>
          <w:p>
            <w:pPr>
              <w:pStyle w:val="ListParagraph"/>
              <w:numPr>
                <w:ilvl w:val="0"/>
                <w:numId w:val="2"/>
              </w:numPr>
              <w:spacing w:after="60" w:line="248"/>
            </w:pPr>
            <w:r>
              <w:rPr>
                <w:rFonts w:ascii="Calibri" w:cs="Calibri" w:eastAsia="Calibri" w:hAnsi="Calibri"/>
                <w:color w:val="FFFFFF"/>
                <w:sz w:val="18"/>
                <w:szCs w:val="18"/>
              </w:rPr>
              <w:t xml:space="preserve">Anything implying she caused it or must fix his sin</w:t>
            </w:r>
          </w:p>
          <w:p>
            <w:pPr>
              <w:pStyle w:val="ListParagraph"/>
              <w:numPr>
                <w:ilvl w:val="0"/>
                <w:numId w:val="2"/>
              </w:numPr>
              <w:spacing w:after="60" w:line="248"/>
            </w:pPr>
            <w:r>
              <w:rPr>
                <w:rFonts w:ascii="Calibri" w:cs="Calibri" w:eastAsia="Calibri" w:hAnsi="Calibri"/>
                <w:color w:val="FFFFFF"/>
                <w:sz w:val="18"/>
                <w:szCs w:val="18"/>
              </w:rPr>
              <w:t xml:space="preserve">Timelines for forgiveness, reconciliation, or “moving on”</w:t>
            </w:r>
          </w:p>
        </w:tc>
      </w:tr>
    </w:tbl>
    <w:p>
      <w:pPr>
        <w:pBdr>
          <w:bottom w:val="single" w:color="A6592C" w:sz="8" w:space="4"/>
        </w:pBdr>
        <w:spacing w:after="100" w:before="260"/>
      </w:pPr>
      <w:r>
        <w:rPr>
          <w:rFonts w:ascii="Calibri" w:cs="Calibri" w:eastAsia="Calibri" w:hAnsi="Calibri"/>
          <w:b/>
          <w:bCs/>
          <w:color w:val="223047"/>
          <w:sz w:val="24"/>
          <w:szCs w:val="24"/>
        </w:rPr>
        <w:t xml:space="preserve">HOLD OFF ON FORGIVENESS &amp; RECONCILIATION LANGUAGE</w:t>
      </w:r>
    </w:p>
    <w:p>
      <w:pPr>
        <w:pStyle w:val="ListParagraph"/>
        <w:numPr>
          <w:ilvl w:val="0"/>
          <w:numId w:val="2"/>
        </w:numPr>
        <w:spacing w:after="60" w:line="252"/>
      </w:pPr>
      <w:r>
        <w:rPr>
          <w:rFonts w:ascii="Calibri" w:cs="Calibri" w:eastAsia="Calibri" w:hAnsi="Calibri"/>
          <w:b w:val="false"/>
          <w:bCs w:val="false"/>
          <w:i w:val="false"/>
          <w:iCs w:val="false"/>
          <w:color w:val="2B2B2B"/>
          <w:sz w:val="19"/>
          <w:szCs w:val="19"/>
        </w:rPr>
        <w:t xml:space="preserve">Forgiveness is real and eventually good — but it cannot be the first conversation's agenda. Naming it too soon tells her the wound matters less than the timeline.</w:t>
      </w:r>
    </w:p>
    <w:p>
      <w:pPr>
        <w:pStyle w:val="ListParagraph"/>
        <w:numPr>
          <w:ilvl w:val="0"/>
          <w:numId w:val="2"/>
        </w:numPr>
        <w:spacing w:after="60" w:line="252"/>
      </w:pPr>
      <w:r>
        <w:rPr>
          <w:rFonts w:ascii="Calibri" w:cs="Calibri" w:eastAsia="Calibri" w:hAnsi="Calibri"/>
          <w:b w:val="false"/>
          <w:bCs w:val="false"/>
          <w:i w:val="false"/>
          <w:iCs w:val="false"/>
          <w:color w:val="2B2B2B"/>
          <w:sz w:val="19"/>
          <w:szCs w:val="19"/>
        </w:rPr>
        <w:t xml:space="preserve">Do not use “bitterness,” “letting go,” or “restoring the marriage” language in the first weeks. It will land as pressure, not comfort, however gently it's meant.</w:t>
      </w:r>
    </w:p>
    <w:p>
      <w:pPr>
        <w:pStyle w:val="ListParagraph"/>
        <w:numPr>
          <w:ilvl w:val="0"/>
          <w:numId w:val="2"/>
        </w:numPr>
        <w:spacing w:after="60" w:line="252"/>
      </w:pPr>
      <w:r>
        <w:rPr>
          <w:rFonts w:ascii="Calibri" w:cs="Calibri" w:eastAsia="Calibri" w:hAnsi="Calibri"/>
          <w:b w:val="false"/>
          <w:bCs w:val="false"/>
          <w:i w:val="false"/>
          <w:iCs w:val="false"/>
          <w:color w:val="2B2B2B"/>
          <w:sz w:val="19"/>
          <w:szCs w:val="19"/>
        </w:rPr>
        <w:t xml:space="preserve">Reconciliation, if it happens, is a process measured in months, built on the offending spouse's sustained, verified change — not a decision to extract in session one.</w:t>
      </w:r>
    </w:p>
    <w:p>
      <w:pPr>
        <w:pBdr>
          <w:bottom w:val="single" w:color="A6592C" w:sz="8" w:space="4"/>
        </w:pBdr>
        <w:spacing w:after="100" w:before="260"/>
      </w:pPr>
      <w:r>
        <w:rPr>
          <w:rFonts w:ascii="Calibri" w:cs="Calibri" w:eastAsia="Calibri" w:hAnsi="Calibri"/>
          <w:b/>
          <w:bCs/>
          <w:color w:val="223047"/>
          <w:sz w:val="24"/>
          <w:szCs w:val="24"/>
        </w:rPr>
        <w:t xml:space="preserve">IMMEDIATE SAFETY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shd w:fill="F5E7DA"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7A2E20"/>
                <w:sz w:val="20"/>
                <w:szCs w:val="20"/>
              </w:rPr>
              <w:t xml:space="preserve">IMMEDIATE SAFETY — ASK EVERY TIME</w:t>
            </w:r>
          </w:p>
          <w:p>
            <w:pPr>
              <w:pStyle w:val="ListParagraph"/>
              <w:numPr>
                <w:ilvl w:val="0"/>
                <w:numId w:val="2"/>
              </w:numPr>
              <w:spacing w:after="55" w:line="248"/>
            </w:pPr>
            <w:r>
              <w:rPr>
                <w:rFonts w:ascii="Calibri" w:cs="Calibri" w:eastAsia="Calibri" w:hAnsi="Calibri"/>
                <w:color w:val="2B2B2B"/>
                <w:sz w:val="19"/>
                <w:szCs w:val="19"/>
              </w:rPr>
              <w:t xml:space="preserve">Is there any physical violence, threats, or fear of retaliation for disclosing?</w:t>
            </w:r>
          </w:p>
          <w:p>
            <w:pPr>
              <w:pStyle w:val="ListParagraph"/>
              <w:numPr>
                <w:ilvl w:val="0"/>
                <w:numId w:val="2"/>
              </w:numPr>
              <w:spacing w:after="55" w:line="248"/>
            </w:pPr>
            <w:r>
              <w:rPr>
                <w:rFonts w:ascii="Calibri" w:cs="Calibri" w:eastAsia="Calibri" w:hAnsi="Calibri"/>
                <w:color w:val="2B2B2B"/>
                <w:sz w:val="19"/>
                <w:szCs w:val="19"/>
              </w:rPr>
              <w:t xml:space="preserve">Are children in the home potentially at risk (exposure, abuse, neglect)?</w:t>
            </w:r>
          </w:p>
          <w:p>
            <w:pPr>
              <w:pStyle w:val="ListParagraph"/>
              <w:numPr>
                <w:ilvl w:val="0"/>
                <w:numId w:val="2"/>
              </w:numPr>
              <w:spacing w:after="55" w:line="248"/>
            </w:pPr>
            <w:r>
              <w:rPr>
                <w:rFonts w:ascii="Calibri" w:cs="Calibri" w:eastAsia="Calibri" w:hAnsi="Calibri"/>
                <w:color w:val="2B2B2B"/>
                <w:sz w:val="19"/>
                <w:szCs w:val="19"/>
              </w:rPr>
              <w:t xml:space="preserve">Is there any indication of coercion, manipulation, or control that goes beyond porn use — this may be abuse, not just betrayal.</w:t>
            </w:r>
          </w:p>
          <w:p>
            <w:pPr>
              <w:pStyle w:val="ListParagraph"/>
              <w:numPr>
                <w:ilvl w:val="0"/>
                <w:numId w:val="2"/>
              </w:numPr>
              <w:spacing w:after="55" w:line="248"/>
            </w:pPr>
            <w:r>
              <w:rPr>
                <w:rFonts w:ascii="Calibri" w:cs="Calibri" w:eastAsia="Calibri" w:hAnsi="Calibri"/>
                <w:color w:val="2B2B2B"/>
                <w:sz w:val="19"/>
                <w:szCs w:val="19"/>
              </w:rPr>
              <w:t xml:space="preserve">Does she have a safe place to go tonight if she needs one?</w:t>
            </w:r>
          </w:p>
          <w:p>
            <w:pPr>
              <w:pStyle w:val="ListParagraph"/>
              <w:numPr>
                <w:ilvl w:val="0"/>
                <w:numId w:val="2"/>
              </w:numPr>
              <w:spacing w:after="55" w:line="248"/>
            </w:pPr>
            <w:r>
              <w:rPr>
                <w:rFonts w:ascii="Calibri" w:cs="Calibri" w:eastAsia="Calibri" w:hAnsi="Calibri"/>
                <w:color w:val="2B2B2B"/>
                <w:sz w:val="19"/>
                <w:szCs w:val="19"/>
              </w:rPr>
              <w:t xml:space="preserve">If there is any disclosure of a minor being harmed, or ongoing abuse of a vulnerable person: mandatory reporting laws in your state/province may apply. Know your reporting obligations before you need them, and consult a mandated-reporting hotline or attorney the same day if uncertain.</w:t>
            </w:r>
          </w:p>
        </w:tc>
      </w:tr>
    </w:tbl>
    <w:p>
      <w:pPr>
        <w:spacing w:before="40"/>
      </w:pPr>
    </w:p>
    <w:p>
      <w:pPr>
        <w:pBdr>
          <w:bottom w:val="single" w:color="A6592C" w:sz="8" w:space="4"/>
        </w:pBdr>
        <w:spacing w:after="100" w:before="260"/>
      </w:pPr>
      <w:r>
        <w:rPr>
          <w:rFonts w:ascii="Calibri" w:cs="Calibri" w:eastAsia="Calibri" w:hAnsi="Calibri"/>
          <w:b/>
          <w:bCs/>
          <w:color w:val="223047"/>
          <w:sz w:val="24"/>
          <w:szCs w:val="24"/>
        </w:rPr>
        <w:t xml:space="preserve">WHEN IT CHANGES THINGS: ABUSE OR COERCION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shd w:fill="F5E7DA"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7A2E20"/>
                <w:sz w:val="20"/>
                <w:szCs w:val="20"/>
              </w:rPr>
              <w:t xml:space="preserve">WHEN IT'S ABUSE OR COERCION, NOT ONLY BETRAYAL</w:t>
            </w:r>
          </w:p>
          <w:p>
            <w:pPr>
              <w:pStyle w:val="ListParagraph"/>
              <w:numPr>
                <w:ilvl w:val="0"/>
                <w:numId w:val="2"/>
              </w:numPr>
              <w:spacing w:after="55" w:line="248"/>
            </w:pPr>
            <w:r>
              <w:rPr>
                <w:rFonts w:ascii="Calibri" w:cs="Calibri" w:eastAsia="Calibri" w:hAnsi="Calibri"/>
                <w:color w:val="2B2B2B"/>
                <w:sz w:val="19"/>
                <w:szCs w:val="19"/>
              </w:rPr>
              <w:t xml:space="preserve">Pornography use and infidelity are sin issues you shepherd toward repentance. Coercive control, threats, manipulation, sexual coercion within marriage, or physical harm are abuse — a safety issue, not (only) a discipleship issue.</w:t>
            </w:r>
          </w:p>
          <w:p>
            <w:pPr>
              <w:pStyle w:val="ListParagraph"/>
              <w:numPr>
                <w:ilvl w:val="0"/>
                <w:numId w:val="2"/>
              </w:numPr>
              <w:spacing w:after="55" w:line="248"/>
            </w:pPr>
            <w:r>
              <w:rPr>
                <w:rFonts w:ascii="Calibri" w:cs="Calibri" w:eastAsia="Calibri" w:hAnsi="Calibri"/>
                <w:color w:val="2B2B2B"/>
                <w:sz w:val="19"/>
                <w:szCs w:val="19"/>
              </w:rPr>
              <w:t xml:space="preserve">Do not require joint sessions, mutual confession, or “hearing both sides together” when abuse is disclosed — this can retraumatize and endanger the victim.</w:t>
            </w:r>
          </w:p>
          <w:p>
            <w:pPr>
              <w:pStyle w:val="ListParagraph"/>
              <w:numPr>
                <w:ilvl w:val="0"/>
                <w:numId w:val="2"/>
              </w:numPr>
              <w:spacing w:after="55" w:line="248"/>
            </w:pPr>
            <w:r>
              <w:rPr>
                <w:rFonts w:ascii="Calibri" w:cs="Calibri" w:eastAsia="Calibri" w:hAnsi="Calibri"/>
                <w:color w:val="2B2B2B"/>
                <w:sz w:val="19"/>
                <w:szCs w:val="19"/>
              </w:rPr>
              <w:t xml:space="preserve">Do not frame the abused spouse's response (anger, distance, fear) as a parallel sin needing equal repentance.</w:t>
            </w:r>
          </w:p>
          <w:p>
            <w:pPr>
              <w:pStyle w:val="ListParagraph"/>
              <w:numPr>
                <w:ilvl w:val="0"/>
                <w:numId w:val="2"/>
              </w:numPr>
              <w:spacing w:after="55" w:line="248"/>
            </w:pPr>
            <w:r>
              <w:rPr>
                <w:rFonts w:ascii="Calibri" w:cs="Calibri" w:eastAsia="Calibri" w:hAnsi="Calibri"/>
                <w:color w:val="2B2B2B"/>
                <w:sz w:val="19"/>
                <w:szCs w:val="19"/>
              </w:rPr>
              <w:t xml:space="preserve">Refer to a domestic-abuse advocate or counselor trained in coercive control — this is outside standard marriage counseling.</w:t>
            </w:r>
          </w:p>
        </w:tc>
      </w:tr>
    </w:tbl>
    <w:p>
      <w:pPr>
        <w:pBdr>
          <w:bottom w:val="single" w:color="A6592C" w:sz="8" w:space="4"/>
        </w:pBdr>
        <w:spacing w:after="100" w:before="260"/>
      </w:pPr>
      <w:r>
        <w:rPr>
          <w:rFonts w:ascii="Calibri" w:cs="Calibri" w:eastAsia="Calibri" w:hAnsi="Calibri"/>
          <w:b/>
          <w:bCs/>
          <w:color w:val="223047"/>
          <w:sz w:val="24"/>
          <w:szCs w:val="24"/>
        </w:rPr>
        <w:t xml:space="preserve">DOCUMENTATION &amp; CONFIDENTIALITY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shd w:fill="E9EFE4"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223047"/>
                <w:sz w:val="20"/>
                <w:szCs w:val="20"/>
              </w:rPr>
              <w:t xml:space="preserve">DOCUMENTATION &amp; CONFIDENTIALITY</w:t>
            </w:r>
          </w:p>
          <w:p>
            <w:pPr>
              <w:pStyle w:val="ListParagraph"/>
              <w:numPr>
                <w:ilvl w:val="0"/>
                <w:numId w:val="2"/>
              </w:numPr>
              <w:spacing w:after="55" w:line="248"/>
            </w:pPr>
            <w:r>
              <w:rPr>
                <w:rFonts w:ascii="Calibri" w:cs="Calibri" w:eastAsia="Calibri" w:hAnsi="Calibri"/>
                <w:color w:val="2B2B2B"/>
                <w:sz w:val="19"/>
                <w:szCs w:val="19"/>
              </w:rPr>
              <w:t xml:space="preserve">Keep a brief, factual, dated note of the conversation (what was disclosed, what you advised, referrals given) in a secure, confidential file — not church-wide records.</w:t>
            </w:r>
          </w:p>
          <w:p>
            <w:pPr>
              <w:pStyle w:val="ListParagraph"/>
              <w:numPr>
                <w:ilvl w:val="0"/>
                <w:numId w:val="2"/>
              </w:numPr>
              <w:spacing w:after="55" w:line="248"/>
            </w:pPr>
            <w:r>
              <w:rPr>
                <w:rFonts w:ascii="Calibri" w:cs="Calibri" w:eastAsia="Calibri" w:hAnsi="Calibri"/>
                <w:color w:val="2B2B2B"/>
                <w:sz w:val="19"/>
                <w:szCs w:val="19"/>
              </w:rPr>
              <w:t xml:space="preserve">Clarify your confidentiality limits with her up front, in plain language: what stays private, and the specific situations (child abuse, imminent danger to self or others) where you're legally or ethically required to report.</w:t>
            </w:r>
          </w:p>
          <w:p>
            <w:pPr>
              <w:pStyle w:val="ListParagraph"/>
              <w:numPr>
                <w:ilvl w:val="0"/>
                <w:numId w:val="2"/>
              </w:numPr>
              <w:spacing w:after="55" w:line="248"/>
            </w:pPr>
            <w:r>
              <w:rPr>
                <w:rFonts w:ascii="Calibri" w:cs="Calibri" w:eastAsia="Calibri" w:hAnsi="Calibri"/>
                <w:color w:val="2B2B2B"/>
                <w:sz w:val="19"/>
                <w:szCs w:val="19"/>
              </w:rPr>
              <w:t xml:space="preserve">Do not share details with staff, elders, or your spouse beyond what's necessary for her safety or your own accountability — and say so to her directly, so trust isn't guessed at.</w:t>
            </w:r>
          </w:p>
          <w:p>
            <w:pPr>
              <w:pStyle w:val="ListParagraph"/>
              <w:numPr>
                <w:ilvl w:val="0"/>
                <w:numId w:val="2"/>
              </w:numPr>
              <w:spacing w:after="55" w:line="248"/>
            </w:pPr>
            <w:r>
              <w:rPr>
                <w:rFonts w:ascii="Calibri" w:cs="Calibri" w:eastAsia="Calibri" w:hAnsi="Calibri"/>
                <w:color w:val="2B2B2B"/>
                <w:sz w:val="19"/>
                <w:szCs w:val="19"/>
              </w:rPr>
              <w:t xml:space="preserve">If elders or a care team need to be looped in, tell her first, and let her know what will and won't be shared.</w:t>
            </w:r>
          </w:p>
        </w:tc>
      </w:tr>
    </w:tbl>
    <w:p>
      <w:pPr>
        <w:pBdr>
          <w:bottom w:val="single" w:color="A6592C" w:sz="8" w:space="4"/>
        </w:pBdr>
        <w:spacing w:after="100" w:before="260"/>
      </w:pPr>
      <w:r>
        <w:rPr>
          <w:rFonts w:ascii="Calibri" w:cs="Calibri" w:eastAsia="Calibri" w:hAnsi="Calibri"/>
          <w:b/>
          <w:bCs/>
          <w:color w:val="223047"/>
          <w:sz w:val="24"/>
          <w:szCs w:val="24"/>
        </w:rPr>
        <w:t xml:space="preserve">WHEN TO REFER OUT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shd w:fill="E9EFE4"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223047"/>
                <w:sz w:val="20"/>
                <w:szCs w:val="20"/>
              </w:rPr>
              <w:t xml:space="preserve">WHEN TO REFER OUT</w:t>
            </w:r>
          </w:p>
          <w:p>
            <w:pPr>
              <w:pStyle w:val="ListParagraph"/>
              <w:numPr>
                <w:ilvl w:val="0"/>
                <w:numId w:val="2"/>
              </w:numPr>
              <w:spacing w:after="55" w:line="248"/>
            </w:pPr>
            <w:r>
              <w:rPr>
                <w:rFonts w:ascii="Calibri" w:cs="Calibri" w:eastAsia="Calibri" w:hAnsi="Calibri"/>
                <w:color w:val="2B2B2B"/>
                <w:sz w:val="19"/>
                <w:szCs w:val="19"/>
              </w:rPr>
              <w:t xml:space="preserve">Trauma symptoms (flashbacks, panic, dissociation, suicidal thoughts) → licensed trauma-informed counselor or therapist; treat any suicidal statement as urgent.</w:t>
            </w:r>
          </w:p>
          <w:p>
            <w:pPr>
              <w:pStyle w:val="ListParagraph"/>
              <w:numPr>
                <w:ilvl w:val="0"/>
                <w:numId w:val="2"/>
              </w:numPr>
              <w:spacing w:after="55" w:line="248"/>
            </w:pPr>
            <w:r>
              <w:rPr>
                <w:rFonts w:ascii="Calibri" w:cs="Calibri" w:eastAsia="Calibri" w:hAnsi="Calibri"/>
                <w:color w:val="2B2B2B"/>
                <w:sz w:val="19"/>
                <w:szCs w:val="19"/>
              </w:rPr>
              <w:t xml:space="preserve">Any disclosure of abuse, coercion, or a minor at risk → domestic-abuse advocate, and legal/mandated-reporting channels as required in your jurisdiction.</w:t>
            </w:r>
          </w:p>
          <w:p>
            <w:pPr>
              <w:pStyle w:val="ListParagraph"/>
              <w:numPr>
                <w:ilvl w:val="0"/>
                <w:numId w:val="2"/>
              </w:numPr>
              <w:spacing w:after="55" w:line="248"/>
            </w:pPr>
            <w:r>
              <w:rPr>
                <w:rFonts w:ascii="Calibri" w:cs="Calibri" w:eastAsia="Calibri" w:hAnsi="Calibri"/>
                <w:color w:val="2B2B2B"/>
                <w:sz w:val="19"/>
                <w:szCs w:val="19"/>
              </w:rPr>
              <w:t xml:space="preserve">Possible sexual addiction/compulsive behavior in the offending spouse → a certified sex-addiction therapist or support group, in addition to pastoral discipleship.</w:t>
            </w:r>
          </w:p>
          <w:p>
            <w:pPr>
              <w:pStyle w:val="ListParagraph"/>
              <w:numPr>
                <w:ilvl w:val="0"/>
                <w:numId w:val="2"/>
              </w:numPr>
              <w:spacing w:after="55" w:line="248"/>
            </w:pPr>
            <w:r>
              <w:rPr>
                <w:rFonts w:ascii="Calibri" w:cs="Calibri" w:eastAsia="Calibri" w:hAnsi="Calibri"/>
                <w:color w:val="2B2B2B"/>
                <w:sz w:val="19"/>
                <w:szCs w:val="19"/>
              </w:rPr>
              <w:t xml:space="preserve">Physical health concerns (possible STI exposure, injury) → her physician.</w:t>
            </w:r>
          </w:p>
          <w:p>
            <w:pPr>
              <w:pStyle w:val="ListParagraph"/>
              <w:numPr>
                <w:ilvl w:val="0"/>
                <w:numId w:val="2"/>
              </w:numPr>
              <w:spacing w:after="55" w:line="248"/>
            </w:pPr>
            <w:r>
              <w:rPr>
                <w:rFonts w:ascii="Calibri" w:cs="Calibri" w:eastAsia="Calibri" w:hAnsi="Calibri"/>
                <w:color w:val="2B2B2B"/>
                <w:sz w:val="19"/>
                <w:szCs w:val="19"/>
              </w:rPr>
              <w:t xml:space="preserve">You are her pastor, not her trauma therapist, doctor, or attorney. Referring out is faithful shepherding, not a failure to help.</w:t>
            </w:r>
          </w:p>
        </w:tc>
      </w:tr>
    </w:tbl>
    <w:p>
      <w:pPr>
        <w:pBdr>
          <w:bottom w:val="single" w:color="A6592C" w:sz="8" w:space="4"/>
        </w:pBdr>
        <w:spacing w:after="100" w:before="260"/>
      </w:pPr>
      <w:r>
        <w:rPr>
          <w:rFonts w:ascii="Calibri" w:cs="Calibri" w:eastAsia="Calibri" w:hAnsi="Calibri"/>
          <w:b/>
          <w:bCs/>
          <w:color w:val="223047"/>
          <w:sz w:val="24"/>
          <w:szCs w:val="24"/>
        </w:rPr>
        <w:t xml:space="preserve">QUICK CHECKLIST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7"/>
        <w:gridCol w:w="3117"/>
      </w:tblGrid>
      <w:tr>
        <w:trPr>
          <w:cantSplit/>
        </w:trPr>
        <w:tc>
          <w:tcPr>
            <w:tcW w:type="dxa" w:w="3116"/>
            <w:shd w:fill="F5E7DA"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7A2E20"/>
                <w:sz w:val="19"/>
                <w:szCs w:val="19"/>
              </w:rPr>
              <w:t xml:space="preserve">FIRST 24 HOURS</w:t>
            </w:r>
          </w:p>
          <w:p>
            <w:pPr>
              <w:pStyle w:val="ListParagraph"/>
              <w:numPr>
                <w:ilvl w:val="0"/>
                <w:numId w:val="3"/>
              </w:numPr>
              <w:spacing w:after="55" w:line="240"/>
            </w:pPr>
            <w:r>
              <w:rPr>
                <w:rFonts w:ascii="Calibri" w:cs="Calibri" w:eastAsia="Calibri" w:hAnsi="Calibri"/>
                <w:color w:val="2B2B2B"/>
                <w:sz w:val="17"/>
                <w:szCs w:val="17"/>
              </w:rPr>
              <w:t xml:space="preserve">Ensure immediate safety; address any danger first</w:t>
            </w:r>
          </w:p>
          <w:p>
            <w:pPr>
              <w:pStyle w:val="ListParagraph"/>
              <w:numPr>
                <w:ilvl w:val="0"/>
                <w:numId w:val="3"/>
              </w:numPr>
              <w:spacing w:after="55" w:line="240"/>
            </w:pPr>
            <w:r>
              <w:rPr>
                <w:rFonts w:ascii="Calibri" w:cs="Calibri" w:eastAsia="Calibri" w:hAnsi="Calibri"/>
                <w:color w:val="2B2B2B"/>
                <w:sz w:val="17"/>
                <w:szCs w:val="17"/>
              </w:rPr>
              <w:t xml:space="preserve">Listen without fixing, defending, or minimizing</w:t>
            </w:r>
          </w:p>
          <w:p>
            <w:pPr>
              <w:pStyle w:val="ListParagraph"/>
              <w:numPr>
                <w:ilvl w:val="0"/>
                <w:numId w:val="3"/>
              </w:numPr>
              <w:spacing w:after="55" w:line="240"/>
            </w:pPr>
            <w:r>
              <w:rPr>
                <w:rFonts w:ascii="Calibri" w:cs="Calibri" w:eastAsia="Calibri" w:hAnsi="Calibri"/>
                <w:color w:val="2B2B2B"/>
                <w:sz w:val="17"/>
                <w:szCs w:val="17"/>
              </w:rPr>
              <w:t xml:space="preserve">Avoid forgiveness/reconciliation language entirely</w:t>
            </w:r>
          </w:p>
          <w:p>
            <w:pPr>
              <w:pStyle w:val="ListParagraph"/>
              <w:numPr>
                <w:ilvl w:val="0"/>
                <w:numId w:val="3"/>
              </w:numPr>
              <w:spacing w:after="55" w:line="240"/>
            </w:pPr>
            <w:r>
              <w:rPr>
                <w:rFonts w:ascii="Calibri" w:cs="Calibri" w:eastAsia="Calibri" w:hAnsi="Calibri"/>
                <w:color w:val="2B2B2B"/>
                <w:sz w:val="17"/>
                <w:szCs w:val="17"/>
              </w:rPr>
              <w:t xml:space="preserve">Ask what she needs today — not what she'll do long-term</w:t>
            </w:r>
          </w:p>
          <w:p>
            <w:pPr>
              <w:pStyle w:val="ListParagraph"/>
              <w:numPr>
                <w:ilvl w:val="0"/>
                <w:numId w:val="3"/>
              </w:numPr>
              <w:spacing w:after="55" w:line="240"/>
            </w:pPr>
            <w:r>
              <w:rPr>
                <w:rFonts w:ascii="Calibri" w:cs="Calibri" w:eastAsia="Calibri" w:hAnsi="Calibri"/>
                <w:color w:val="2B2B2B"/>
                <w:sz w:val="17"/>
                <w:szCs w:val="17"/>
              </w:rPr>
              <w:t xml:space="preserve">Note any mandated-reporting triggers</w:t>
            </w:r>
          </w:p>
        </w:tc>
        <w:tc>
          <w:tcPr>
            <w:tcW w:type="dxa" w:w="3116"/>
            <w:shd w:fill="FDF3E7"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8C4A1E"/>
                <w:sz w:val="19"/>
                <w:szCs w:val="19"/>
              </w:rPr>
              <w:t xml:space="preserve">FIRST WEEK</w:t>
            </w:r>
          </w:p>
          <w:p>
            <w:pPr>
              <w:pStyle w:val="ListParagraph"/>
              <w:numPr>
                <w:ilvl w:val="0"/>
                <w:numId w:val="3"/>
              </w:numPr>
              <w:spacing w:after="55" w:line="240"/>
            </w:pPr>
            <w:r>
              <w:rPr>
                <w:rFonts w:ascii="Calibri" w:cs="Calibri" w:eastAsia="Calibri" w:hAnsi="Calibri"/>
                <w:color w:val="2B2B2B"/>
                <w:sz w:val="17"/>
                <w:szCs w:val="17"/>
              </w:rPr>
              <w:t xml:space="preserve">Follow up — don't wait for her to reach out</w:t>
            </w:r>
          </w:p>
          <w:p>
            <w:pPr>
              <w:pStyle w:val="ListParagraph"/>
              <w:numPr>
                <w:ilvl w:val="0"/>
                <w:numId w:val="3"/>
              </w:numPr>
              <w:spacing w:after="55" w:line="240"/>
            </w:pPr>
            <w:r>
              <w:rPr>
                <w:rFonts w:ascii="Calibri" w:cs="Calibri" w:eastAsia="Calibri" w:hAnsi="Calibri"/>
                <w:color w:val="2B2B2B"/>
                <w:sz w:val="17"/>
                <w:szCs w:val="17"/>
              </w:rPr>
              <w:t xml:space="preserve">Make 1–2 specific referrals (counselor, doctor, advocate)</w:t>
            </w:r>
          </w:p>
          <w:p>
            <w:pPr>
              <w:pStyle w:val="ListParagraph"/>
              <w:numPr>
                <w:ilvl w:val="0"/>
                <w:numId w:val="3"/>
              </w:numPr>
              <w:spacing w:after="55" w:line="240"/>
            </w:pPr>
            <w:r>
              <w:rPr>
                <w:rFonts w:ascii="Calibri" w:cs="Calibri" w:eastAsia="Calibri" w:hAnsi="Calibri"/>
                <w:color w:val="2B2B2B"/>
                <w:sz w:val="17"/>
                <w:szCs w:val="17"/>
              </w:rPr>
              <w:t xml:space="preserve">Clarify confidentiality and who (if anyone) will be told</w:t>
            </w:r>
          </w:p>
          <w:p>
            <w:pPr>
              <w:pStyle w:val="ListParagraph"/>
              <w:numPr>
                <w:ilvl w:val="0"/>
                <w:numId w:val="3"/>
              </w:numPr>
              <w:spacing w:after="55" w:line="240"/>
            </w:pPr>
            <w:r>
              <w:rPr>
                <w:rFonts w:ascii="Calibri" w:cs="Calibri" w:eastAsia="Calibri" w:hAnsi="Calibri"/>
                <w:color w:val="2B2B2B"/>
                <w:sz w:val="17"/>
                <w:szCs w:val="17"/>
              </w:rPr>
              <w:t xml:space="preserve">Discuss safe next steps with the offending spouse separately</w:t>
            </w:r>
          </w:p>
          <w:p>
            <w:pPr>
              <w:pStyle w:val="ListParagraph"/>
              <w:numPr>
                <w:ilvl w:val="0"/>
                <w:numId w:val="3"/>
              </w:numPr>
              <w:spacing w:after="55" w:line="240"/>
            </w:pPr>
            <w:r>
              <w:rPr>
                <w:rFonts w:ascii="Calibri" w:cs="Calibri" w:eastAsia="Calibri" w:hAnsi="Calibri"/>
                <w:color w:val="2B2B2B"/>
                <w:sz w:val="17"/>
                <w:szCs w:val="17"/>
              </w:rPr>
              <w:t xml:space="preserve">Hold off on any joint meeting unless clearly safe</w:t>
            </w:r>
          </w:p>
        </w:tc>
        <w:tc>
          <w:tcPr>
            <w:tcW w:type="dxa" w:w="3116"/>
            <w:shd w:fill="E9EFE4" w:color="auto" w:val="clear"/>
            <w:tcMar>
              <w:top w:type="dxa" w:w="160"/>
              <w:left w:type="dxa" w:w="180"/>
              <w:bottom w:type="dxa" w:w="160"/>
              <w:right w:type="dxa" w:w="180"/>
            </w:tcMar>
            <w:vAlign w:val="top"/>
          </w:tcPr>
          <w:p>
            <w:pPr>
              <w:spacing w:after="80" w:before="0" w:line="264"/>
            </w:pPr>
            <w:r>
              <w:rPr>
                <w:rFonts w:ascii="Calibri" w:cs="Calibri" w:eastAsia="Calibri" w:hAnsi="Calibri"/>
                <w:b/>
                <w:bCs/>
                <w:i w:val="false"/>
                <w:iCs w:val="false"/>
                <w:color w:val="2E4A2E"/>
                <w:sz w:val="19"/>
                <w:szCs w:val="19"/>
              </w:rPr>
              <w:t xml:space="preserve">ONGOING CARE</w:t>
            </w:r>
          </w:p>
          <w:p>
            <w:pPr>
              <w:pStyle w:val="ListParagraph"/>
              <w:numPr>
                <w:ilvl w:val="0"/>
                <w:numId w:val="3"/>
              </w:numPr>
              <w:spacing w:after="55" w:line="240"/>
            </w:pPr>
            <w:r>
              <w:rPr>
                <w:rFonts w:ascii="Calibri" w:cs="Calibri" w:eastAsia="Calibri" w:hAnsi="Calibri"/>
                <w:color w:val="2B2B2B"/>
                <w:sz w:val="17"/>
                <w:szCs w:val="17"/>
              </w:rPr>
              <w:t xml:space="preserve">Check in on a set rhythm, not just in crisis moments</w:t>
            </w:r>
          </w:p>
          <w:p>
            <w:pPr>
              <w:pStyle w:val="ListParagraph"/>
              <w:numPr>
                <w:ilvl w:val="0"/>
                <w:numId w:val="3"/>
              </w:numPr>
              <w:spacing w:after="55" w:line="240"/>
            </w:pPr>
            <w:r>
              <w:rPr>
                <w:rFonts w:ascii="Calibri" w:cs="Calibri" w:eastAsia="Calibri" w:hAnsi="Calibri"/>
                <w:color w:val="2B2B2B"/>
                <w:sz w:val="17"/>
                <w:szCs w:val="17"/>
              </w:rPr>
              <w:t xml:space="preserve">Let healing timelines be set by her and her counselor</w:t>
            </w:r>
          </w:p>
          <w:p>
            <w:pPr>
              <w:pStyle w:val="ListParagraph"/>
              <w:numPr>
                <w:ilvl w:val="0"/>
                <w:numId w:val="3"/>
              </w:numPr>
              <w:spacing w:after="55" w:line="240"/>
            </w:pPr>
            <w:r>
              <w:rPr>
                <w:rFonts w:ascii="Calibri" w:cs="Calibri" w:eastAsia="Calibri" w:hAnsi="Calibri"/>
                <w:color w:val="2B2B2B"/>
                <w:sz w:val="17"/>
                <w:szCs w:val="17"/>
              </w:rPr>
              <w:t xml:space="preserve">Keep discipling the offending spouse toward real repentance</w:t>
            </w:r>
          </w:p>
          <w:p>
            <w:pPr>
              <w:pStyle w:val="ListParagraph"/>
              <w:numPr>
                <w:ilvl w:val="0"/>
                <w:numId w:val="3"/>
              </w:numPr>
              <w:spacing w:after="55" w:line="240"/>
            </w:pPr>
            <w:r>
              <w:rPr>
                <w:rFonts w:ascii="Calibri" w:cs="Calibri" w:eastAsia="Calibri" w:hAnsi="Calibri"/>
                <w:color w:val="2B2B2B"/>
                <w:sz w:val="17"/>
                <w:szCs w:val="17"/>
              </w:rPr>
              <w:t xml:space="preserve">Revisit safety and referrals as the situation develops</w:t>
            </w:r>
          </w:p>
          <w:p>
            <w:pPr>
              <w:pStyle w:val="ListParagraph"/>
              <w:numPr>
                <w:ilvl w:val="0"/>
                <w:numId w:val="3"/>
              </w:numPr>
              <w:spacing w:after="55" w:line="240"/>
            </w:pPr>
            <w:r>
              <w:rPr>
                <w:rFonts w:ascii="Calibri" w:cs="Calibri" w:eastAsia="Calibri" w:hAnsi="Calibri"/>
                <w:color w:val="2B2B2B"/>
                <w:sz w:val="17"/>
                <w:szCs w:val="17"/>
              </w:rPr>
              <w:t xml:space="preserve">Coordinate care with counselors/advocates as she permits</w:t>
            </w:r>
          </w:p>
        </w:tc>
      </w:tr>
    </w:tbl>
    <w:p>
      <w:pPr>
        <w:spacing w:before="220"/>
      </w:pPr>
    </w:p>
    <w:p>
      <w:pPr>
        <w:pBdr>
          <w:top w:val="single" w:color="A6592C" w:sz="8" w:space="8"/>
        </w:pBdr>
        <w:spacing w:before="100"/>
        <w:jc w:val="center"/>
      </w:pPr>
      <w:r>
        <w:rPr>
          <w:rFonts w:ascii="Calibri" w:cs="Calibri" w:eastAsia="Calibri" w:hAnsi="Calibri"/>
          <w:i/>
          <w:iCs/>
          <w:color w:val="223047"/>
          <w:sz w:val="19"/>
          <w:szCs w:val="19"/>
        </w:rPr>
        <w:t xml:space="preserve">“A bruised reed he will not break, and a smoldering wick he will not snuff out.” — Isaiah 42:3</w:t>
      </w:r>
    </w:p>
    <w:sectPr>
      <w:headerReference w:type="default" r:id="rId7"/>
      <w:footerReference w:type="default" r:id="rId8"/>
      <w:pgSz w:w="12240" w:h="15840" w:orient="portrait"/>
      <w:pgMar w:top="620" w:right="545" w:bottom="620" w:left="54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C4" w:sz="4" w:space="6"/>
      </w:pBdr>
      <w:spacing w:before="60"/>
      <w:jc w:val="center"/>
    </w:pPr>
    <w:r>
      <w:rPr>
        <w:rFonts w:ascii="Calibri" w:cs="Calibri" w:eastAsia="Calibri" w:hAnsi="Calibri"/>
        <w:color w:val="6B6B6B"/>
        <w:sz w:val="15"/>
        <w:szCs w:val="15"/>
      </w:rPr>
      <w:t xml:space="preserve">This guide is a quick-reference tool for the first conversation — not a substitute for counseling, legal, or medical training. Page </w:t>
    </w:r>
    <w:r>
      <w:rPr>
        <w:rFonts w:ascii="Calibri" w:cs="Calibri" w:eastAsia="Calibri" w:hAnsi="Calibri"/>
        <w:color w:val="6B6B6B"/>
        <w:sz w:val="15"/>
        <w:szCs w:val="15"/>
      </w:rPr>
      <w:fldChar w:fldCharType="begin"/>
      <w:instrText xml:space="preserve">PAGE</w:instrText>
      <w:fldChar w:fldCharType="separate"/>
      <w:fldChar w:fldCharType="end"/>
    </w:r>
    <w:r>
      <w:rPr>
        <w:rFonts w:ascii="Calibri" w:cs="Calibri" w:eastAsia="Calibri" w:hAnsi="Calibri"/>
        <w:color w:val="6B6B6B"/>
        <w:sz w:val="15"/>
        <w:szCs w:val="15"/>
      </w:rPr>
      <w:t xml:space="preserve"> of </w:t>
    </w:r>
    <w:r>
      <w:rPr>
        <w:rFonts w:ascii="Calibri" w:cs="Calibri" w:eastAsia="Calibri" w:hAnsi="Calibri"/>
        <w:color w:val="6B6B6B"/>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center"/>
    </w:pPr>
    <w:r>
      <w:rPr>
        <w:rFonts w:ascii="Calibri" w:cs="Calibri" w:eastAsia="Calibri" w:hAnsi="Calibri"/>
        <w:b/>
        <w:bCs/>
        <w:color w:val="223047"/>
        <w:sz w:val="30"/>
        <w:szCs w:val="30"/>
      </w:rPr>
      <w:t xml:space="preserve">WHEN SOMEONE TELLS YOU</w:t>
    </w:r>
  </w:p>
  <w:p>
    <w:pPr>
      <w:spacing w:after="160" w:before="20"/>
      <w:jc w:val="center"/>
    </w:pPr>
    <w:r>
      <w:rPr>
        <w:rFonts w:ascii="Calibri" w:cs="Calibri" w:eastAsia="Calibri" w:hAnsi="Calibri"/>
        <w:i/>
        <w:iCs/>
        <w:color w:val="6B6B6B"/>
        <w:sz w:val="19"/>
        <w:szCs w:val="19"/>
      </w:rPr>
      <w:t xml:space="preserve">A Pastor's First-Response Guide to Sexual Betrayal, Pornography, Abuse &amp; Sexual Trauma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bullet"/>
      <w:lvlText w:val="☐"/>
      <w:lvlJc w:val="left"/>
      <w:pPr>
        <w:ind w:left="22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2026-09-25T22:44:20.900Z</dcterms:created>
  <dcterms:modified xsi:type="dcterms:W3CDTF">2026-09-25T22:44:20.900Z</dcterms:modified>
</cp:coreProperties>
</file>

<file path=docProps/custom.xml><?xml version="1.0" encoding="utf-8"?>
<Properties xmlns="http://schemas.openxmlformats.org/officeDocument/2006/custom-properties" xmlns:vt="http://schemas.openxmlformats.org/officeDocument/2006/docPropsVTypes"/>
</file>